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161" w:val="left" w:leader="none"/>
        </w:tabs>
        <w:spacing w:line="240" w:lineRule="auto"/>
        <w:ind w:left="100" w:right="0" w:firstLine="0"/>
        <w:rPr>
          <w:rFonts w:ascii="Times New Roman"/>
          <w:sz w:val="20"/>
        </w:rPr>
      </w:pPr>
      <w:r>
        <w:rPr>
          <w:rFonts w:ascii="Times New Roman"/>
          <w:position w:val="26"/>
          <w:sz w:val="20"/>
        </w:rPr>
        <w:drawing>
          <wp:inline distT="0" distB="0" distL="0" distR="0">
            <wp:extent cx="2621308" cy="110585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308" cy="1105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6"/>
          <w:sz w:val="20"/>
        </w:rPr>
      </w:r>
      <w:r>
        <w:rPr>
          <w:rFonts w:ascii="Times New Roman"/>
          <w:position w:val="26"/>
          <w:sz w:val="20"/>
        </w:rPr>
        <w:tab/>
      </w:r>
      <w:r>
        <w:rPr>
          <w:rFonts w:ascii="Times New Roman"/>
          <w:sz w:val="20"/>
        </w:rPr>
        <w:pict>
          <v:shape style="width:289.5pt;height:93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before="10"/>
                    <w:ind w:firstLine="0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tabs>
                      <w:tab w:pos="5589" w:val="left" w:leader="none"/>
                      <w:tab w:pos="5628" w:val="left" w:leader="none"/>
                    </w:tabs>
                    <w:spacing w:line="410" w:lineRule="auto" w:before="0"/>
                    <w:ind w:left="144" w:right="112" w:firstLine="0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Cirujano:</w:t>
                  </w:r>
                  <w:r>
                    <w:rPr>
                      <w:sz w:val="22"/>
                      <w:u w:val="single"/>
                    </w:rPr>
                    <w:tab/>
                    <w:tab/>
                  </w:r>
                  <w:r>
                    <w:rPr>
                      <w:sz w:val="22"/>
                    </w:rPr>
                    <w:t> Fecha/hora de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la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cirugía: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w w:val="99"/>
                      <w:sz w:val="22"/>
                      <w:u w:val="single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ab/>
                    <w:tab/>
                  </w:r>
                  <w:r>
                    <w:rPr>
                      <w:sz w:val="22"/>
                    </w:rPr>
                    <w:t> Hora del informe a</w:t>
                  </w:r>
                  <w:r>
                    <w:rPr>
                      <w:spacing w:val="-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ACC: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w w:val="99"/>
                      <w:sz w:val="22"/>
                      <w:u w:val="single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ab/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158"/>
        <w:ind w:left="100" w:firstLine="0"/>
        <w:rPr>
          <w:rFonts w:ascii="Arial Black" w:hAnsi="Arial Black"/>
        </w:rPr>
      </w:pPr>
      <w:r>
        <w:rPr>
          <w:rFonts w:ascii="Arial Black" w:hAnsi="Arial Black"/>
        </w:rPr>
        <w:t>INSTRUCCIONES PARA EL DÍA DE LA CIRUGÍA</w:t>
      </w:r>
    </w:p>
    <w:p>
      <w:pPr>
        <w:pStyle w:val="BodyText"/>
        <w:spacing w:before="14"/>
        <w:ind w:firstLine="0"/>
        <w:rPr>
          <w:rFonts w:ascii="Arial Black"/>
          <w:sz w:val="44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6" w:lineRule="auto" w:before="0" w:after="0"/>
        <w:ind w:left="820" w:right="395" w:hanging="360"/>
        <w:jc w:val="left"/>
        <w:rPr>
          <w:sz w:val="24"/>
        </w:rPr>
      </w:pPr>
      <w:r>
        <w:rPr>
          <w:b/>
          <w:sz w:val="24"/>
        </w:rPr>
        <w:t>NO COMA NI BEBA NADA DESPUÉS DE LA MEDIANOCHE </w:t>
      </w:r>
      <w:r>
        <w:rPr>
          <w:sz w:val="24"/>
        </w:rPr>
        <w:t>la noche anterior a la cirugía. Esto incluye agua, café, gaseosa, jugo o cualquier otro líquido. Comer o beber antes de la cirugía puede causar complicaciones graves, y su procedimiento se</w:t>
      </w:r>
      <w:r>
        <w:rPr>
          <w:spacing w:val="-3"/>
          <w:sz w:val="24"/>
        </w:rPr>
        <w:t> </w:t>
      </w:r>
      <w:r>
        <w:rPr>
          <w:sz w:val="24"/>
        </w:rPr>
        <w:t>cancelará.</w:t>
      </w:r>
    </w:p>
    <w:p>
      <w:pPr>
        <w:pStyle w:val="BodyText"/>
        <w:spacing w:before="5"/>
        <w:ind w:firstLine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6" w:lineRule="auto" w:before="0" w:after="0"/>
        <w:ind w:left="820" w:right="1411" w:hanging="360"/>
        <w:jc w:val="both"/>
        <w:rPr>
          <w:sz w:val="24"/>
        </w:rPr>
      </w:pPr>
      <w:r>
        <w:rPr>
          <w:b/>
          <w:sz w:val="24"/>
        </w:rPr>
        <w:t>HABLE CON SU MÉDICO SI TIENE ALERGIAS A MEDICAMENTOS O SI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TOMA ANTICOAGULANTES </w:t>
      </w:r>
      <w:r>
        <w:rPr>
          <w:sz w:val="24"/>
        </w:rPr>
        <w:t>(aspirina, antiinflamatorios no esteroideos, Plavix, Lovenox, Coumadin). Su médico le brindará las instrucciones</w:t>
      </w:r>
      <w:r>
        <w:rPr>
          <w:spacing w:val="-2"/>
          <w:sz w:val="24"/>
        </w:rPr>
        <w:t> </w:t>
      </w:r>
      <w:r>
        <w:rPr>
          <w:sz w:val="24"/>
        </w:rPr>
        <w:t>adecuadas.</w:t>
      </w:r>
    </w:p>
    <w:p>
      <w:pPr>
        <w:pStyle w:val="BodyText"/>
        <w:spacing w:before="3"/>
        <w:ind w:firstLine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/>
        <w:t>ESTÉ PREPARADO EL DÍA DE SU</w:t>
      </w:r>
      <w:r>
        <w:rPr>
          <w:spacing w:val="-1"/>
        </w:rPr>
        <w:t> </w:t>
      </w:r>
      <w:r>
        <w:rPr/>
        <w:t>CIRUGÍA:</w:t>
      </w:r>
    </w:p>
    <w:p>
      <w:pPr>
        <w:pStyle w:val="BodyText"/>
        <w:spacing w:before="7"/>
        <w:ind w:firstLine="0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360"/>
        <w:jc w:val="left"/>
        <w:rPr>
          <w:sz w:val="24"/>
        </w:rPr>
      </w:pPr>
      <w:r>
        <w:rPr>
          <w:sz w:val="24"/>
        </w:rPr>
        <w:t>Use ropa informal (considere los vendajes</w:t>
      </w:r>
      <w:r>
        <w:rPr>
          <w:spacing w:val="-1"/>
          <w:sz w:val="24"/>
        </w:rPr>
        <w:t> </w:t>
      </w:r>
      <w:r>
        <w:rPr>
          <w:sz w:val="24"/>
        </w:rPr>
        <w:t>quirúrgicos).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22" w:after="0"/>
        <w:ind w:left="1540" w:right="0" w:hanging="360"/>
        <w:jc w:val="left"/>
        <w:rPr>
          <w:sz w:val="24"/>
        </w:rPr>
      </w:pPr>
      <w:r>
        <w:rPr>
          <w:sz w:val="24"/>
        </w:rPr>
        <w:t>No use</w:t>
      </w:r>
      <w:r>
        <w:rPr>
          <w:spacing w:val="-2"/>
          <w:sz w:val="24"/>
        </w:rPr>
        <w:t> </w:t>
      </w:r>
      <w:r>
        <w:rPr>
          <w:sz w:val="24"/>
        </w:rPr>
        <w:t>maquillaje.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21" w:after="0"/>
        <w:ind w:left="1540" w:right="0" w:hanging="360"/>
        <w:jc w:val="left"/>
        <w:rPr>
          <w:sz w:val="24"/>
        </w:rPr>
      </w:pPr>
      <w:r>
        <w:rPr>
          <w:sz w:val="24"/>
        </w:rPr>
        <w:t>No use esmalte para</w:t>
      </w:r>
      <w:r>
        <w:rPr>
          <w:spacing w:val="-3"/>
          <w:sz w:val="24"/>
        </w:rPr>
        <w:t> </w:t>
      </w:r>
      <w:r>
        <w:rPr>
          <w:sz w:val="24"/>
        </w:rPr>
        <w:t>uñas.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22" w:after="0"/>
        <w:ind w:left="1540" w:right="0" w:hanging="360"/>
        <w:jc w:val="left"/>
        <w:rPr>
          <w:sz w:val="24"/>
        </w:rPr>
      </w:pPr>
      <w:r>
        <w:rPr>
          <w:sz w:val="24"/>
        </w:rPr>
        <w:t>No use</w:t>
      </w:r>
      <w:r>
        <w:rPr>
          <w:spacing w:val="-2"/>
          <w:sz w:val="24"/>
        </w:rPr>
        <w:t> </w:t>
      </w:r>
      <w:r>
        <w:rPr>
          <w:sz w:val="24"/>
        </w:rPr>
        <w:t>fragancias.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22" w:after="0"/>
        <w:ind w:left="1540" w:right="0" w:hanging="360"/>
        <w:jc w:val="left"/>
        <w:rPr>
          <w:sz w:val="24"/>
        </w:rPr>
      </w:pPr>
      <w:r>
        <w:rPr>
          <w:sz w:val="24"/>
        </w:rPr>
        <w:t>No use lentes de</w:t>
      </w:r>
      <w:r>
        <w:rPr>
          <w:spacing w:val="-2"/>
          <w:sz w:val="24"/>
        </w:rPr>
        <w:t> </w:t>
      </w:r>
      <w:r>
        <w:rPr>
          <w:sz w:val="24"/>
        </w:rPr>
        <w:t>contacto.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22" w:after="0"/>
        <w:ind w:left="1540" w:right="0" w:hanging="360"/>
        <w:jc w:val="left"/>
        <w:rPr>
          <w:sz w:val="24"/>
        </w:rPr>
      </w:pPr>
      <w:r>
        <w:rPr>
          <w:sz w:val="24"/>
        </w:rPr>
        <w:t>No use</w:t>
      </w:r>
      <w:r>
        <w:rPr>
          <w:spacing w:val="-1"/>
          <w:sz w:val="24"/>
        </w:rPr>
        <w:t> </w:t>
      </w:r>
      <w:r>
        <w:rPr>
          <w:sz w:val="24"/>
        </w:rPr>
        <w:t>joyas.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22" w:after="0"/>
        <w:ind w:left="1540" w:right="0" w:hanging="360"/>
        <w:jc w:val="left"/>
        <w:rPr>
          <w:sz w:val="24"/>
        </w:rPr>
      </w:pPr>
      <w:r>
        <w:rPr>
          <w:sz w:val="24"/>
        </w:rPr>
        <w:t>Quítese todas las perforaciones del cuerpo (</w:t>
      </w:r>
      <w:r>
        <w:rPr>
          <w:i/>
          <w:sz w:val="24"/>
        </w:rPr>
        <w:t>piercings</w:t>
      </w:r>
      <w:r>
        <w:rPr>
          <w:sz w:val="24"/>
        </w:rPr>
        <w:t>) antes de ir al centro</w:t>
      </w:r>
      <w:r>
        <w:rPr>
          <w:spacing w:val="-4"/>
          <w:sz w:val="24"/>
        </w:rPr>
        <w:t> </w:t>
      </w:r>
      <w:r>
        <w:rPr>
          <w:sz w:val="24"/>
        </w:rPr>
        <w:t>quirúrgico.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22" w:after="0"/>
        <w:ind w:left="1540" w:right="0" w:hanging="360"/>
        <w:jc w:val="left"/>
        <w:rPr>
          <w:sz w:val="24"/>
        </w:rPr>
      </w:pPr>
      <w:r>
        <w:rPr>
          <w:sz w:val="24"/>
        </w:rPr>
        <w:t>Deje todos los objetos de valor con su acompañante o en su</w:t>
      </w:r>
      <w:r>
        <w:rPr>
          <w:spacing w:val="-2"/>
          <w:sz w:val="24"/>
        </w:rPr>
        <w:t> </w:t>
      </w:r>
      <w:r>
        <w:rPr>
          <w:sz w:val="24"/>
        </w:rPr>
        <w:t>casa.</w:t>
      </w:r>
    </w:p>
    <w:p>
      <w:pPr>
        <w:pStyle w:val="BodyText"/>
        <w:ind w:firstLine="0"/>
        <w:rPr>
          <w:sz w:val="26"/>
        </w:rPr>
      </w:pPr>
    </w:p>
    <w:p>
      <w:pPr>
        <w:pStyle w:val="BodyText"/>
        <w:spacing w:before="8"/>
        <w:ind w:firstLine="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auto" w:before="0" w:after="0"/>
        <w:ind w:left="820" w:right="302" w:hanging="360"/>
        <w:jc w:val="left"/>
        <w:rPr>
          <w:b/>
          <w:i/>
          <w:sz w:val="24"/>
        </w:rPr>
      </w:pPr>
      <w:r>
        <w:rPr>
          <w:b/>
          <w:sz w:val="24"/>
        </w:rPr>
        <w:t>UN ADULTO COMPETENTE DEBE ESTAR DISPONIBLE PARA TRASLADARLO A AMBULATORY CARE CENTER Y DE REGRESO A SU CASA. </w:t>
      </w:r>
      <w:r>
        <w:rPr>
          <w:sz w:val="24"/>
        </w:rPr>
        <w:t>Su seguridad es nuestro mayor interés. Por este motivo, si usted viene a Ambulatory Care Center sin un</w:t>
      </w:r>
      <w:r>
        <w:rPr>
          <w:spacing w:val="-12"/>
          <w:sz w:val="24"/>
        </w:rPr>
        <w:t> </w:t>
      </w:r>
      <w:r>
        <w:rPr>
          <w:sz w:val="24"/>
        </w:rPr>
        <w:t>acompañante que lo traslade, se cancelará su caso. </w:t>
      </w:r>
      <w:r>
        <w:rPr>
          <w:b/>
          <w:i/>
          <w:sz w:val="24"/>
        </w:rPr>
        <w:t>No puede viajar sin acompañante en un taxi o </w:t>
      </w:r>
      <w:r>
        <w:rPr>
          <w:b/>
          <w:i/>
          <w:sz w:val="24"/>
        </w:rPr>
        <w:t>servicio de transporte después de su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procedimiento.</w:t>
      </w:r>
    </w:p>
    <w:p>
      <w:pPr>
        <w:pStyle w:val="BodyText"/>
        <w:spacing w:before="6"/>
        <w:ind w:firstLine="0"/>
        <w:rPr>
          <w:b/>
          <w:i/>
          <w:sz w:val="25"/>
        </w:rPr>
      </w:pPr>
    </w:p>
    <w:p>
      <w:pPr>
        <w:pStyle w:val="Heading1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6" w:lineRule="auto" w:before="0" w:after="0"/>
        <w:ind w:left="820" w:right="426" w:hanging="360"/>
        <w:jc w:val="left"/>
      </w:pPr>
      <w:r>
        <w:rPr/>
        <w:t>PARA PACIENTES PEDIÁTRICOS: UNO DE LOS PADRES DEBE PERMANECER EN</w:t>
      </w:r>
      <w:r>
        <w:rPr>
          <w:spacing w:val="-10"/>
        </w:rPr>
        <w:t> </w:t>
      </w:r>
      <w:r>
        <w:rPr/>
        <w:t>EL CENTRO QUIRÚRGICO EN TODO</w:t>
      </w:r>
      <w:r>
        <w:rPr>
          <w:spacing w:val="-1"/>
        </w:rPr>
        <w:t> </w:t>
      </w:r>
      <w:r>
        <w:rPr/>
        <w:t>MOMENTO.</w:t>
      </w:r>
    </w:p>
    <w:p>
      <w:pPr>
        <w:pStyle w:val="BodyText"/>
        <w:spacing w:before="1"/>
        <w:ind w:firstLine="0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6" w:lineRule="auto" w:before="0" w:after="0"/>
        <w:ind w:left="820" w:right="598" w:hanging="360"/>
        <w:jc w:val="left"/>
        <w:rPr>
          <w:b/>
          <w:sz w:val="24"/>
        </w:rPr>
      </w:pPr>
      <w:r>
        <w:rPr>
          <w:b/>
          <w:sz w:val="24"/>
        </w:rPr>
        <w:t>UN ADULTO COMPETENTE DEBE PERMANECER CON USTED DURANTE 24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HORAS DESPUÉS DE 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CIRUGÍA.</w:t>
      </w:r>
    </w:p>
    <w:p>
      <w:pPr>
        <w:pStyle w:val="BodyText"/>
        <w:ind w:firstLine="0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6" w:lineRule="auto" w:before="1" w:after="0"/>
        <w:ind w:left="820" w:right="369" w:hanging="360"/>
        <w:jc w:val="left"/>
        <w:rPr>
          <w:b/>
          <w:sz w:val="24"/>
        </w:rPr>
      </w:pPr>
      <w:r>
        <w:rPr>
          <w:b/>
          <w:sz w:val="24"/>
        </w:rPr>
        <w:t>SI TOMA MEDICAMENTOS, SIGA LAS INSTRUCCIONES QUE SE ENCUENTRAN EN LA PÁGINA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SIGUIENTE.</w:t>
      </w:r>
    </w:p>
    <w:p>
      <w:pPr>
        <w:pStyle w:val="BodyText"/>
        <w:spacing w:before="1"/>
        <w:ind w:firstLine="0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6" w:lineRule="auto" w:before="0" w:after="0"/>
        <w:ind w:left="820" w:right="1013" w:hanging="360"/>
        <w:jc w:val="left"/>
        <w:rPr>
          <w:b/>
          <w:sz w:val="24"/>
        </w:rPr>
      </w:pPr>
      <w:r>
        <w:rPr>
          <w:b/>
          <w:sz w:val="24"/>
        </w:rPr>
        <w:t>SI TIENE PREGUNTAS SOBRE ESTAS INSTRUCCIONES O SU</w:t>
      </w:r>
      <w:r>
        <w:rPr>
          <w:b/>
          <w:spacing w:val="-19"/>
          <w:sz w:val="24"/>
        </w:rPr>
        <w:t> </w:t>
      </w:r>
      <w:r>
        <w:rPr>
          <w:b/>
          <w:sz w:val="24"/>
        </w:rPr>
        <w:t>PROCEDIMIENTO, LLAME AL CONSULTORIO DE SU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CIRUJANO.</w:t>
      </w:r>
    </w:p>
    <w:p>
      <w:pPr>
        <w:spacing w:after="0" w:line="256" w:lineRule="auto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846" w:top="140" w:bottom="1040" w:left="620" w:right="560"/>
        </w:sectPr>
      </w:pPr>
    </w:p>
    <w:p>
      <w:pPr>
        <w:pStyle w:val="BodyText"/>
        <w:ind w:left="10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621308" cy="1105852"/>
            <wp:effectExtent l="0" t="0" r="0" b="0"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308" cy="1105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firstLine="0"/>
        <w:rPr>
          <w:b/>
          <w:sz w:val="20"/>
        </w:rPr>
      </w:pPr>
    </w:p>
    <w:p>
      <w:pPr>
        <w:spacing w:line="259" w:lineRule="auto" w:before="230"/>
        <w:ind w:left="100" w:right="937" w:firstLine="0"/>
        <w:jc w:val="left"/>
        <w:rPr>
          <w:b/>
          <w:sz w:val="24"/>
        </w:rPr>
      </w:pPr>
      <w:r>
        <w:rPr>
          <w:b/>
          <w:sz w:val="40"/>
        </w:rPr>
        <w:t>√ SÍ</w:t>
      </w:r>
      <w:r>
        <w:rPr>
          <w:b/>
          <w:sz w:val="24"/>
        </w:rPr>
        <w:t>, TOME ESTOS MEDICAMENTOS CON UN PEQUEÑO SORBO DE AGUA EL DÍA DE SU CIRUGÍA: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57" w:after="0"/>
        <w:ind w:left="820" w:right="0" w:hanging="360"/>
        <w:jc w:val="left"/>
        <w:rPr>
          <w:sz w:val="24"/>
        </w:rPr>
      </w:pPr>
      <w:r>
        <w:rPr>
          <w:sz w:val="24"/>
        </w:rPr>
        <w:t>Medicamentos para el</w:t>
      </w:r>
      <w:r>
        <w:rPr>
          <w:spacing w:val="-2"/>
          <w:sz w:val="24"/>
        </w:rPr>
        <w:t> </w:t>
      </w:r>
      <w:r>
        <w:rPr>
          <w:sz w:val="24"/>
        </w:rPr>
        <w:t>corazón.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9" w:after="0"/>
        <w:ind w:left="820" w:right="0" w:hanging="360"/>
        <w:jc w:val="left"/>
        <w:rPr>
          <w:sz w:val="24"/>
        </w:rPr>
      </w:pPr>
      <w:r>
        <w:rPr>
          <w:sz w:val="24"/>
        </w:rPr>
        <w:t>Medicamentos para la presión</w:t>
      </w:r>
      <w:r>
        <w:rPr>
          <w:spacing w:val="-1"/>
          <w:sz w:val="24"/>
        </w:rPr>
        <w:t> </w:t>
      </w:r>
      <w:r>
        <w:rPr>
          <w:sz w:val="24"/>
        </w:rPr>
        <w:t>arterial.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21" w:after="0"/>
        <w:ind w:left="820" w:right="0" w:hanging="360"/>
        <w:jc w:val="left"/>
        <w:rPr>
          <w:sz w:val="24"/>
        </w:rPr>
      </w:pPr>
      <w:r>
        <w:rPr>
          <w:sz w:val="24"/>
        </w:rPr>
        <w:t>Medicamentos para la</w:t>
      </w:r>
      <w:r>
        <w:rPr>
          <w:spacing w:val="-2"/>
          <w:sz w:val="24"/>
        </w:rPr>
        <w:t> </w:t>
      </w:r>
      <w:r>
        <w:rPr>
          <w:sz w:val="24"/>
        </w:rPr>
        <w:t>tiroides.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20" w:after="0"/>
        <w:ind w:left="820" w:right="0" w:hanging="360"/>
        <w:jc w:val="left"/>
        <w:rPr>
          <w:sz w:val="24"/>
        </w:rPr>
      </w:pPr>
      <w:r>
        <w:rPr>
          <w:sz w:val="24"/>
        </w:rPr>
        <w:t>Medicamentos</w:t>
      </w:r>
      <w:r>
        <w:rPr>
          <w:spacing w:val="-1"/>
          <w:sz w:val="24"/>
        </w:rPr>
        <w:t> </w:t>
      </w:r>
      <w:r>
        <w:rPr>
          <w:sz w:val="24"/>
        </w:rPr>
        <w:t>anticonvulsivos.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9" w:after="0"/>
        <w:ind w:left="820" w:right="0" w:hanging="360"/>
        <w:jc w:val="left"/>
        <w:rPr>
          <w:sz w:val="24"/>
        </w:rPr>
      </w:pPr>
      <w:r>
        <w:rPr>
          <w:sz w:val="24"/>
        </w:rPr>
        <w:t>Medicamentos para la</w:t>
      </w:r>
      <w:r>
        <w:rPr>
          <w:spacing w:val="-2"/>
          <w:sz w:val="24"/>
        </w:rPr>
        <w:t> </w:t>
      </w:r>
      <w:r>
        <w:rPr>
          <w:sz w:val="24"/>
        </w:rPr>
        <w:t>ansiedad.</w:t>
      </w:r>
    </w:p>
    <w:p>
      <w:pPr>
        <w:pStyle w:val="BodyText"/>
        <w:ind w:firstLine="0"/>
        <w:rPr>
          <w:sz w:val="28"/>
        </w:rPr>
      </w:pPr>
    </w:p>
    <w:p>
      <w:pPr>
        <w:pStyle w:val="BodyText"/>
        <w:spacing w:before="8"/>
        <w:ind w:firstLine="0"/>
        <w:rPr>
          <w:sz w:val="27"/>
        </w:rPr>
      </w:pPr>
    </w:p>
    <w:p>
      <w:pPr>
        <w:pStyle w:val="Heading1"/>
        <w:ind w:left="100" w:firstLine="0"/>
      </w:pPr>
      <w:r>
        <w:rPr>
          <w:sz w:val="40"/>
        </w:rPr>
        <w:t>X NO</w:t>
      </w:r>
      <w:r>
        <w:rPr/>
        <w:t>, NO TOME ESTOS MEDICAMENTOS EL DÍA DE SU CIRUGÍA: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196" w:after="0"/>
        <w:ind w:left="820" w:right="0" w:hanging="360"/>
        <w:jc w:val="left"/>
        <w:rPr>
          <w:rFonts w:ascii="Symbol" w:hAnsi="Symbol"/>
          <w:b/>
          <w:sz w:val="24"/>
        </w:rPr>
      </w:pPr>
      <w:r>
        <w:rPr>
          <w:b/>
          <w:sz w:val="24"/>
        </w:rPr>
        <w:t>Medicamentos para 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diabetes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40" w:lineRule="auto" w:before="20" w:after="0"/>
        <w:ind w:left="1540" w:right="0" w:hanging="360"/>
        <w:jc w:val="left"/>
        <w:rPr>
          <w:sz w:val="24"/>
        </w:rPr>
      </w:pPr>
      <w:r>
        <w:rPr>
          <w:sz w:val="24"/>
        </w:rPr>
        <w:t>Insulina (Humulin, Novolin, insulina humana</w:t>
      </w:r>
      <w:r>
        <w:rPr>
          <w:spacing w:val="-1"/>
          <w:sz w:val="24"/>
        </w:rPr>
        <w:t> </w:t>
      </w:r>
      <w:r>
        <w:rPr>
          <w:sz w:val="24"/>
        </w:rPr>
        <w:t>NPH).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360"/>
        <w:jc w:val="left"/>
        <w:rPr>
          <w:sz w:val="24"/>
        </w:rPr>
      </w:pPr>
      <w:r>
        <w:rPr>
          <w:sz w:val="24"/>
        </w:rPr>
        <w:t>Glucophage.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360"/>
        <w:jc w:val="left"/>
        <w:rPr>
          <w:sz w:val="24"/>
        </w:rPr>
      </w:pPr>
      <w:r>
        <w:rPr>
          <w:sz w:val="24"/>
        </w:rPr>
        <w:t>Amaryl.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40" w:lineRule="auto" w:before="1" w:after="0"/>
        <w:ind w:left="1540" w:right="0" w:hanging="360"/>
        <w:jc w:val="left"/>
        <w:rPr>
          <w:sz w:val="24"/>
        </w:rPr>
      </w:pPr>
      <w:r>
        <w:rPr>
          <w:sz w:val="24"/>
        </w:rPr>
        <w:t>Glucotrol.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360"/>
        <w:jc w:val="left"/>
        <w:rPr>
          <w:sz w:val="24"/>
        </w:rPr>
      </w:pPr>
      <w:r>
        <w:rPr>
          <w:sz w:val="24"/>
        </w:rPr>
        <w:t>Metformina.</w:t>
      </w:r>
    </w:p>
    <w:p>
      <w:pPr>
        <w:pStyle w:val="BodyText"/>
        <w:spacing w:before="1"/>
        <w:ind w:firstLine="0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1" w:after="0"/>
        <w:ind w:left="820" w:right="0" w:hanging="360"/>
        <w:jc w:val="left"/>
        <w:rPr>
          <w:rFonts w:ascii="Symbol" w:hAnsi="Symbol"/>
        </w:rPr>
      </w:pPr>
      <w:r>
        <w:rPr/>
        <w:t>Medicamentos para el colesterol</w:t>
      </w:r>
      <w:r>
        <w:rPr>
          <w:spacing w:val="-1"/>
        </w:rPr>
        <w:t> </w:t>
      </w:r>
      <w:r>
        <w:rPr/>
        <w:t>alto</w:t>
      </w:r>
    </w:p>
    <w:p>
      <w:pPr>
        <w:pStyle w:val="BodyText"/>
        <w:spacing w:before="7"/>
        <w:ind w:firstLine="0"/>
        <w:rPr>
          <w:b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rFonts w:ascii="Symbol" w:hAnsi="Symbol"/>
          <w:b/>
          <w:sz w:val="24"/>
        </w:rPr>
      </w:pPr>
      <w:r>
        <w:rPr>
          <w:b/>
          <w:sz w:val="24"/>
        </w:rPr>
        <w:t>Diuréticos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40" w:lineRule="auto" w:before="19" w:after="0"/>
        <w:ind w:left="1540" w:right="0" w:hanging="360"/>
        <w:jc w:val="left"/>
        <w:rPr>
          <w:sz w:val="24"/>
        </w:rPr>
      </w:pPr>
      <w:r>
        <w:rPr>
          <w:sz w:val="24"/>
        </w:rPr>
        <w:t>Lasix</w:t>
      </w:r>
      <w:r>
        <w:rPr>
          <w:spacing w:val="-2"/>
          <w:sz w:val="24"/>
        </w:rPr>
        <w:t> </w:t>
      </w:r>
      <w:r>
        <w:rPr>
          <w:sz w:val="24"/>
        </w:rPr>
        <w:t>(furosemida).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360"/>
        <w:jc w:val="left"/>
        <w:rPr>
          <w:sz w:val="24"/>
        </w:rPr>
      </w:pPr>
      <w:r>
        <w:rPr>
          <w:sz w:val="24"/>
        </w:rPr>
        <w:t>Dyazide.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40" w:lineRule="auto" w:before="2" w:after="0"/>
        <w:ind w:left="1540" w:right="0" w:hanging="360"/>
        <w:jc w:val="left"/>
        <w:rPr>
          <w:sz w:val="24"/>
        </w:rPr>
      </w:pPr>
      <w:r>
        <w:rPr>
          <w:sz w:val="24"/>
        </w:rPr>
        <w:t>Hidroclorotiazida/triamtereno.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360"/>
        <w:jc w:val="left"/>
        <w:rPr>
          <w:sz w:val="24"/>
        </w:rPr>
      </w:pPr>
      <w:r>
        <w:rPr>
          <w:sz w:val="24"/>
        </w:rPr>
        <w:t>Aldactone.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360"/>
        <w:jc w:val="left"/>
        <w:rPr>
          <w:sz w:val="24"/>
        </w:rPr>
      </w:pPr>
      <w:r>
        <w:rPr>
          <w:sz w:val="24"/>
        </w:rPr>
        <w:t>Diuril.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40" w:lineRule="auto" w:before="1" w:after="0"/>
        <w:ind w:left="1540" w:right="0" w:hanging="360"/>
        <w:jc w:val="left"/>
        <w:rPr>
          <w:sz w:val="24"/>
        </w:rPr>
      </w:pPr>
      <w:r>
        <w:rPr>
          <w:sz w:val="24"/>
        </w:rPr>
        <w:t>Zaroxolyn.</w:t>
      </w:r>
    </w:p>
    <w:p>
      <w:pPr>
        <w:pStyle w:val="BodyText"/>
        <w:ind w:firstLine="0"/>
        <w:rPr>
          <w:sz w:val="28"/>
        </w:rPr>
      </w:pPr>
    </w:p>
    <w:p>
      <w:pPr>
        <w:pStyle w:val="BodyText"/>
        <w:ind w:firstLine="0"/>
        <w:rPr>
          <w:sz w:val="28"/>
        </w:rPr>
      </w:pPr>
    </w:p>
    <w:p>
      <w:pPr>
        <w:pStyle w:val="BodyText"/>
        <w:spacing w:before="8"/>
        <w:ind w:firstLine="0"/>
        <w:rPr>
          <w:sz w:val="35"/>
        </w:rPr>
      </w:pPr>
    </w:p>
    <w:p>
      <w:pPr>
        <w:spacing w:before="0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INFORMACIÓN DE FACTURACIÓN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7" w:lineRule="auto" w:before="185" w:after="0"/>
        <w:ind w:left="820" w:right="512" w:hanging="360"/>
        <w:jc w:val="left"/>
        <w:rPr>
          <w:rFonts w:ascii="Symbol" w:hAnsi="Symbol"/>
          <w:sz w:val="28"/>
        </w:rPr>
      </w:pPr>
      <w:r>
        <w:rPr>
          <w:sz w:val="24"/>
        </w:rPr>
        <w:t>Si su seguro requiere una remisión para visitas al consultorio, debe obtenerse una remisión para Ambulatory Care</w:t>
      </w:r>
      <w:r>
        <w:rPr>
          <w:spacing w:val="-1"/>
          <w:sz w:val="24"/>
        </w:rPr>
        <w:t> </w:t>
      </w:r>
      <w:r>
        <w:rPr>
          <w:sz w:val="24"/>
        </w:rPr>
        <w:t>Center.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7" w:lineRule="auto" w:before="213" w:after="0"/>
        <w:ind w:left="820" w:right="368" w:hanging="360"/>
        <w:jc w:val="left"/>
        <w:rPr>
          <w:rFonts w:ascii="Symbol" w:hAnsi="Symbol"/>
          <w:sz w:val="28"/>
        </w:rPr>
      </w:pPr>
      <w:r>
        <w:rPr>
          <w:sz w:val="24"/>
        </w:rPr>
        <w:t>Es posible que las tarifas de los médicos y de la anestesia sean facturadas por separado </w:t>
      </w:r>
      <w:r>
        <w:rPr>
          <w:spacing w:val="-4"/>
          <w:sz w:val="24"/>
        </w:rPr>
        <w:t>por </w:t>
      </w:r>
      <w:r>
        <w:rPr>
          <w:sz w:val="24"/>
        </w:rPr>
        <w:t>sus respectivos consultorios. Ambulatory Care Center factura la tarifa del</w:t>
      </w:r>
      <w:r>
        <w:rPr>
          <w:spacing w:val="-2"/>
          <w:sz w:val="24"/>
        </w:rPr>
        <w:t> </w:t>
      </w:r>
      <w:r>
        <w:rPr>
          <w:sz w:val="24"/>
        </w:rPr>
        <w:t>centro.</w:t>
      </w:r>
    </w:p>
    <w:sectPr>
      <w:pgSz w:w="12240" w:h="15840"/>
      <w:pgMar w:header="0" w:footer="846" w:top="140" w:bottom="1040" w:left="6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rial Black">
    <w:altName w:val="Arial Black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38.681274pt;width:133.65pt;height:26.55pt;mso-position-horizontal-relative:page;mso-position-vertical-relative:page;z-index:-40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entury Gothic"/>
                    <w:sz w:val="20"/>
                  </w:rPr>
                </w:pPr>
                <w:r>
                  <w:rPr>
                    <w:rFonts w:ascii="Century Gothic"/>
                    <w:sz w:val="20"/>
                  </w:rPr>
                  <w:t>1133 East Chestnut Avenue Vineland, NJ 08360</w:t>
                </w:r>
              </w:p>
            </w:txbxContent>
          </v:textbox>
          <w10:wrap type="none"/>
        </v:shape>
      </w:pict>
    </w:r>
    <w:r>
      <w:rPr/>
      <w:pict>
        <v:shape style="position:absolute;margin-left:230.380005pt;margin-top:738.681274pt;width:79.25pt;height:26.55pt;mso-position-horizontal-relative:page;mso-position-vertical-relative:page;z-index:-3976" type="#_x0000_t202" filled="false" stroked="false">
          <v:textbox inset="0,0,0,0">
            <w:txbxContent>
              <w:p>
                <w:pPr>
                  <w:spacing w:line="245" w:lineRule="exact" w:before="20"/>
                  <w:ind w:left="20" w:right="0" w:firstLine="0"/>
                  <w:jc w:val="left"/>
                  <w:rPr>
                    <w:rFonts w:ascii="Century Gothic"/>
                    <w:sz w:val="20"/>
                  </w:rPr>
                </w:pPr>
                <w:r>
                  <w:rPr>
                    <w:rFonts w:ascii="Century Gothic"/>
                    <w:sz w:val="20"/>
                  </w:rPr>
                  <w:t>856.507.0800</w:t>
                </w:r>
                <w:r>
                  <w:rPr>
                    <w:rFonts w:ascii="Century Gothic"/>
                    <w:spacing w:val="-13"/>
                    <w:sz w:val="20"/>
                  </w:rPr>
                  <w:t> </w:t>
                </w:r>
                <w:r>
                  <w:rPr>
                    <w:rFonts w:ascii="Century Gothic"/>
                    <w:sz w:val="20"/>
                  </w:rPr>
                  <w:t>(t.)</w:t>
                </w:r>
              </w:p>
              <w:p>
                <w:pPr>
                  <w:spacing w:line="245" w:lineRule="exact" w:before="0"/>
                  <w:ind w:left="22" w:right="0" w:firstLine="0"/>
                  <w:jc w:val="left"/>
                  <w:rPr>
                    <w:rFonts w:ascii="Century Gothic"/>
                    <w:sz w:val="20"/>
                  </w:rPr>
                </w:pPr>
                <w:r>
                  <w:rPr>
                    <w:rFonts w:ascii="Century Gothic"/>
                    <w:sz w:val="20"/>
                  </w:rPr>
                  <w:t>856.507.0824</w:t>
                </w:r>
                <w:r>
                  <w:rPr>
                    <w:rFonts w:ascii="Century Gothic"/>
                    <w:spacing w:val="-13"/>
                    <w:sz w:val="20"/>
                  </w:rPr>
                  <w:t> </w:t>
                </w:r>
                <w:r>
                  <w:rPr>
                    <w:rFonts w:ascii="Century Gothic"/>
                    <w:sz w:val="20"/>
                  </w:rPr>
                  <w:t>(f.)</w:t>
                </w:r>
              </w:p>
            </w:txbxContent>
          </v:textbox>
          <w10:wrap type="none"/>
        </v:shape>
      </w:pict>
    </w:r>
    <w:r>
      <w:rPr/>
      <w:pict>
        <v:shape style="position:absolute;margin-left:375.540009pt;margin-top:738.681274pt;width:129.6pt;height:26.55pt;mso-position-horizontal-relative:page;mso-position-vertical-relative:page;z-index:-3952" type="#_x0000_t202" filled="false" stroked="false">
          <v:textbox inset="0,0,0,0">
            <w:txbxContent>
              <w:p>
                <w:pPr>
                  <w:spacing w:before="20"/>
                  <w:ind w:left="45" w:right="1" w:hanging="26"/>
                  <w:jc w:val="left"/>
                  <w:rPr>
                    <w:rFonts w:ascii="Century Gothic"/>
                    <w:sz w:val="20"/>
                  </w:rPr>
                </w:pPr>
                <w:hyperlink r:id="rId1">
                  <w:r>
                    <w:rPr>
                      <w:rFonts w:ascii="Century Gothic"/>
                      <w:sz w:val="20"/>
                    </w:rPr>
                    <w:t>www.surgerycenternj.com</w:t>
                  </w:r>
                </w:hyperlink>
                <w:r>
                  <w:rPr>
                    <w:rFonts w:ascii="Century Gothic"/>
                    <w:sz w:val="20"/>
                  </w:rPr>
                  <w:t> </w:t>
                </w:r>
                <w:hyperlink r:id="rId2">
                  <w:r>
                    <w:rPr>
                      <w:rFonts w:ascii="Century Gothic"/>
                      <w:sz w:val="20"/>
                    </w:rPr>
                    <w:t>info@surgerycenternj.com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/>
        <w:w w:val="100"/>
        <w:lang w:val="en-us" w:eastAsia="en-us" w:bidi="en-us"/>
      </w:rPr>
    </w:lvl>
    <w:lvl w:ilvl="1">
      <w:start w:val="0"/>
      <w:numFmt w:val="bullet"/>
      <w:lvlText w:val="o"/>
      <w:lvlJc w:val="left"/>
      <w:pPr>
        <w:ind w:left="1540" w:hanging="361"/>
      </w:pPr>
      <w:rPr>
        <w:rFonts w:hint="default" w:ascii="Courier New" w:hAnsi="Courier New" w:eastAsia="Courier New" w:cs="Courier New"/>
        <w:spacing w:val="-1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97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55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13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1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28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886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44" w:hanging="36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□"/>
      <w:lvlJc w:val="left"/>
      <w:pPr>
        <w:ind w:left="1540" w:hanging="361"/>
      </w:pPr>
      <w:rPr>
        <w:rFonts w:hint="default" w:ascii="Arial" w:hAnsi="Arial" w:eastAsia="Arial" w:cs="Arial"/>
        <w:spacing w:val="-2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97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55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13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1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28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886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44" w:hanging="361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hanging="360"/>
    </w:pPr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820" w:hanging="360"/>
      <w:outlineLvl w:val="1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540" w:hanging="36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rgerycenternj.com/" TargetMode="External"/><Relationship Id="rId2" Type="http://schemas.openxmlformats.org/officeDocument/2006/relationships/hyperlink" Target="mailto:info@surgerycenternj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Leasa</dc:creator>
  <dcterms:created xsi:type="dcterms:W3CDTF">2019-06-06T15:20:02Z</dcterms:created>
  <dcterms:modified xsi:type="dcterms:W3CDTF">2019-06-06T15:20:02Z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2019-06-06T00:00:00Z</vt:filetime>
  </property>
</Properties>
</file>